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F2" w:rsidRDefault="00652CF2" w:rsidP="00652CF2">
      <w:pPr>
        <w:pStyle w:val="CABEZA"/>
        <w:rPr>
          <w:bCs/>
          <w:szCs w:val="18"/>
          <w:lang w:val="es-MX"/>
        </w:rPr>
      </w:pPr>
      <w:r w:rsidRPr="00F63670">
        <w:rPr>
          <w:rFonts w:cs="Times New Roman"/>
        </w:rPr>
        <w:t>SECRETARIA DE ECONOMIA</w:t>
      </w:r>
    </w:p>
    <w:p w:rsidR="00652CF2" w:rsidRDefault="00652CF2"/>
    <w:p w:rsidR="00652CF2" w:rsidRPr="00F63670" w:rsidRDefault="00652CF2" w:rsidP="00652CF2">
      <w:pPr>
        <w:pStyle w:val="Titulo1"/>
        <w:spacing w:line="240" w:lineRule="exact"/>
        <w:rPr>
          <w:rFonts w:cs="Times New Roman"/>
        </w:rPr>
      </w:pPr>
      <w:bookmarkStart w:id="0" w:name="_GoBack"/>
      <w:r w:rsidRPr="00F63670">
        <w:rPr>
          <w:rFonts w:cs="Times New Roman"/>
        </w:rPr>
        <w:t>DECLARATORIA de vigencia de la Norma Mexicana NMX-J-739-10-ANCE-2018.</w:t>
      </w:r>
    </w:p>
    <w:bookmarkEnd w:id="0"/>
    <w:p w:rsidR="00652CF2" w:rsidRPr="00F63670" w:rsidRDefault="00652CF2" w:rsidP="00652CF2">
      <w:pPr>
        <w:pStyle w:val="Titulo2"/>
        <w:spacing w:line="240" w:lineRule="exact"/>
      </w:pPr>
      <w:r w:rsidRPr="00F63670">
        <w:t xml:space="preserve">Al margen un sello con el Escudo Nacional, que dice: Estados Unidos </w:t>
      </w:r>
      <w:proofErr w:type="gramStart"/>
      <w:r w:rsidRPr="00F63670">
        <w:t>Mexicanos.-</w:t>
      </w:r>
      <w:proofErr w:type="gramEnd"/>
      <w:r w:rsidRPr="00F63670">
        <w:t xml:space="preserve"> Secretaría de Economía.- Subsecretaría de Competitividad y Normatividad.- Dirección General de Normas.</w:t>
      </w:r>
    </w:p>
    <w:p w:rsidR="00652CF2" w:rsidRPr="00AC3ACB" w:rsidRDefault="00652CF2" w:rsidP="00652CF2">
      <w:pPr>
        <w:pStyle w:val="Texto"/>
        <w:spacing w:after="60" w:line="212" w:lineRule="exact"/>
        <w:rPr>
          <w:bCs/>
          <w:sz w:val="16"/>
          <w:szCs w:val="18"/>
          <w:lang w:val="es-MX"/>
        </w:rPr>
      </w:pPr>
      <w:r w:rsidRPr="00AC3ACB">
        <w:rPr>
          <w:bCs/>
          <w:sz w:val="16"/>
          <w:szCs w:val="18"/>
          <w:lang w:val="es-MX"/>
        </w:rPr>
        <w:t>DECLARATORIA DE VIGENCIA DE LA NORMA MEXICANA NMX-J-739-10-ANCE-2018, “ENERGÍA MARINA</w:t>
      </w:r>
      <w:r>
        <w:rPr>
          <w:bCs/>
          <w:sz w:val="16"/>
          <w:szCs w:val="18"/>
          <w:lang w:val="es-MX"/>
        </w:rPr>
        <w:t>-</w:t>
      </w:r>
      <w:r w:rsidRPr="00AC3ACB">
        <w:rPr>
          <w:bCs/>
          <w:sz w:val="16"/>
          <w:szCs w:val="18"/>
          <w:lang w:val="es-MX"/>
        </w:rPr>
        <w:t>CONVERTIDORES DE OLAS, DE MAREAS Y OTRAS CORRIENTES DE AGUA</w:t>
      </w:r>
      <w:r>
        <w:rPr>
          <w:bCs/>
          <w:sz w:val="16"/>
          <w:szCs w:val="18"/>
          <w:lang w:val="es-MX"/>
        </w:rPr>
        <w:t>-</w:t>
      </w:r>
      <w:r w:rsidRPr="00AC3ACB">
        <w:rPr>
          <w:bCs/>
          <w:sz w:val="16"/>
          <w:szCs w:val="18"/>
          <w:lang w:val="es-MX"/>
        </w:rPr>
        <w:t>PARTE 10: COMPROBACIÓN DEL SISTEMA DE AMARRE PARA CONVERTIDORES DE ENERGÍA MARINA (MECS)”</w:t>
      </w:r>
      <w:r>
        <w:rPr>
          <w:bCs/>
          <w:sz w:val="16"/>
          <w:szCs w:val="18"/>
          <w:lang w:val="es-MX"/>
        </w:rPr>
        <w:t>.</w:t>
      </w:r>
    </w:p>
    <w:p w:rsidR="00652CF2" w:rsidRPr="00187A8D" w:rsidRDefault="00652CF2" w:rsidP="00652CF2">
      <w:pPr>
        <w:pStyle w:val="Texto"/>
        <w:spacing w:after="60" w:line="212" w:lineRule="exact"/>
        <w:rPr>
          <w:bCs/>
          <w:szCs w:val="18"/>
          <w:lang w:val="es-MX"/>
        </w:rPr>
      </w:pPr>
      <w:r w:rsidRPr="00187A8D">
        <w:rPr>
          <w:bCs/>
          <w:szCs w:val="18"/>
          <w:lang w:val="es-MX"/>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adquirido en la sede de dicho organismo ubicado en Av. Lázaro Cárdenas No. 869, Fracc. 3, esq. con Júpiter, Col.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Ciudad</w:t>
      </w:r>
      <w:r>
        <w:rPr>
          <w:bCs/>
          <w:szCs w:val="18"/>
          <w:lang w:val="es-MX"/>
        </w:rPr>
        <w:t xml:space="preserve"> </w:t>
      </w:r>
      <w:r w:rsidRPr="00187A8D">
        <w:rPr>
          <w:bCs/>
          <w:szCs w:val="18"/>
          <w:lang w:val="es-MX"/>
        </w:rPr>
        <w:t>de México.</w:t>
      </w:r>
    </w:p>
    <w:p w:rsidR="00652CF2" w:rsidRPr="00187A8D" w:rsidRDefault="00652CF2" w:rsidP="00652CF2">
      <w:pPr>
        <w:pStyle w:val="Texto"/>
        <w:spacing w:after="60" w:line="212" w:lineRule="exact"/>
        <w:rPr>
          <w:szCs w:val="18"/>
        </w:rPr>
      </w:pPr>
      <w:r w:rsidRPr="00187A8D">
        <w:rPr>
          <w:bCs/>
          <w:szCs w:val="18"/>
          <w:lang w:val="es-MX"/>
        </w:rPr>
        <w:t xml:space="preserve">La presente Norma Mexicana </w:t>
      </w:r>
      <w:r w:rsidRPr="00187A8D">
        <w:rPr>
          <w:szCs w:val="18"/>
          <w:lang w:val="es-MX"/>
        </w:rPr>
        <w:t xml:space="preserve">NMX-J-739-10-ANCE-2018 </w:t>
      </w:r>
      <w:r w:rsidRPr="00187A8D">
        <w:rPr>
          <w:bCs/>
          <w:szCs w:val="18"/>
          <w:lang w:val="es-MX"/>
        </w:rPr>
        <w:t xml:space="preserve">entrará en vigor 60 días naturales contados a partir del día natural inmediato siguiente de la publicación de esta Declaratoria de Vigencia en el Diario Oficial de la Federación. </w:t>
      </w:r>
      <w:r w:rsidRPr="00187A8D">
        <w:rPr>
          <w:szCs w:val="18"/>
        </w:rPr>
        <w:t>SINEC-20180813175918587</w:t>
      </w:r>
      <w:r>
        <w:rPr>
          <w:szCs w:val="18"/>
        </w:rPr>
        <w:t>.</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5943"/>
      </w:tblGrid>
      <w:tr w:rsidR="00652CF2" w:rsidRPr="00CC7F11" w:rsidTr="00C56A1A">
        <w:trPr>
          <w:trHeight w:val="20"/>
        </w:trPr>
        <w:tc>
          <w:tcPr>
            <w:tcW w:w="3094" w:type="dxa"/>
            <w:shd w:val="pct10" w:color="auto" w:fill="auto"/>
            <w:vAlign w:val="center"/>
          </w:tcPr>
          <w:p w:rsidR="00652CF2" w:rsidRPr="00CC7F11" w:rsidRDefault="00652CF2" w:rsidP="00C56A1A">
            <w:pPr>
              <w:pStyle w:val="Texto"/>
              <w:spacing w:before="20" w:after="20" w:line="202" w:lineRule="exact"/>
              <w:ind w:firstLine="0"/>
              <w:jc w:val="center"/>
              <w:rPr>
                <w:b/>
                <w:sz w:val="16"/>
                <w:szCs w:val="18"/>
                <w:lang w:val="es-MX"/>
              </w:rPr>
            </w:pPr>
            <w:r w:rsidRPr="00CC7F11">
              <w:rPr>
                <w:b/>
                <w:sz w:val="16"/>
                <w:szCs w:val="18"/>
                <w:lang w:val="es-MX"/>
              </w:rPr>
              <w:t>CLAVE O CÓDIGO</w:t>
            </w:r>
          </w:p>
        </w:tc>
        <w:tc>
          <w:tcPr>
            <w:tcW w:w="6665" w:type="dxa"/>
            <w:shd w:val="pct10" w:color="auto" w:fill="auto"/>
            <w:vAlign w:val="center"/>
          </w:tcPr>
          <w:p w:rsidR="00652CF2" w:rsidRPr="00CC7F11" w:rsidRDefault="00652CF2" w:rsidP="00C56A1A">
            <w:pPr>
              <w:pStyle w:val="Texto"/>
              <w:spacing w:before="20" w:after="20" w:line="202" w:lineRule="exact"/>
              <w:ind w:firstLine="0"/>
              <w:jc w:val="center"/>
              <w:rPr>
                <w:b/>
                <w:sz w:val="16"/>
                <w:szCs w:val="18"/>
                <w:lang w:val="es-MX"/>
              </w:rPr>
            </w:pPr>
            <w:r w:rsidRPr="00CC7F11">
              <w:rPr>
                <w:b/>
                <w:sz w:val="16"/>
                <w:szCs w:val="18"/>
                <w:lang w:val="es-MX"/>
              </w:rPr>
              <w:t>TÍTULO DE LA NORMA MEXICANA</w:t>
            </w:r>
          </w:p>
        </w:tc>
      </w:tr>
      <w:tr w:rsidR="00652CF2" w:rsidRPr="00187A8D" w:rsidTr="00C56A1A">
        <w:trPr>
          <w:trHeight w:val="20"/>
        </w:trPr>
        <w:tc>
          <w:tcPr>
            <w:tcW w:w="3094" w:type="dxa"/>
            <w:vAlign w:val="center"/>
          </w:tcPr>
          <w:p w:rsidR="00652CF2" w:rsidRPr="00187A8D" w:rsidRDefault="00652CF2" w:rsidP="00C56A1A">
            <w:pPr>
              <w:pStyle w:val="Texto"/>
              <w:spacing w:before="20" w:after="20" w:line="202" w:lineRule="exact"/>
              <w:ind w:firstLine="0"/>
              <w:jc w:val="center"/>
              <w:rPr>
                <w:b/>
                <w:szCs w:val="18"/>
                <w:highlight w:val="yellow"/>
                <w:lang w:val="es-MX"/>
              </w:rPr>
            </w:pPr>
            <w:r w:rsidRPr="00CC7F11">
              <w:rPr>
                <w:b/>
                <w:sz w:val="16"/>
                <w:szCs w:val="18"/>
                <w:lang w:val="es-MX"/>
              </w:rPr>
              <w:t>NMX-J-739-10-ANCE-2018</w:t>
            </w:r>
          </w:p>
        </w:tc>
        <w:tc>
          <w:tcPr>
            <w:tcW w:w="6665" w:type="dxa"/>
          </w:tcPr>
          <w:p w:rsidR="00652CF2" w:rsidRPr="00CC7F11" w:rsidRDefault="00652CF2" w:rsidP="00C56A1A">
            <w:pPr>
              <w:pStyle w:val="Texto"/>
              <w:spacing w:before="20" w:after="20" w:line="202" w:lineRule="exact"/>
              <w:ind w:firstLine="0"/>
              <w:rPr>
                <w:szCs w:val="18"/>
                <w:highlight w:val="yellow"/>
              </w:rPr>
            </w:pPr>
            <w:r w:rsidRPr="00CC7F11">
              <w:rPr>
                <w:bCs/>
                <w:szCs w:val="18"/>
                <w:lang w:val="es-MX"/>
              </w:rPr>
              <w:t>Energía marina</w:t>
            </w:r>
            <w:r>
              <w:rPr>
                <w:bCs/>
                <w:szCs w:val="18"/>
                <w:lang w:val="es-MX"/>
              </w:rPr>
              <w:t>-</w:t>
            </w:r>
            <w:r w:rsidRPr="00CC7F11">
              <w:rPr>
                <w:bCs/>
                <w:szCs w:val="18"/>
                <w:lang w:val="es-MX"/>
              </w:rPr>
              <w:t>Convertidores de olas, de mareas y otras corrientes de agua</w:t>
            </w:r>
            <w:r>
              <w:rPr>
                <w:bCs/>
                <w:szCs w:val="18"/>
                <w:lang w:val="es-MX"/>
              </w:rPr>
              <w:t>-</w:t>
            </w:r>
            <w:r w:rsidRPr="00CC7F11">
              <w:rPr>
                <w:bCs/>
                <w:szCs w:val="18"/>
                <w:lang w:val="es-MX"/>
              </w:rPr>
              <w:t>Parte 10: comprobación del sistema de amarre para convertidores de energía marina (</w:t>
            </w:r>
            <w:proofErr w:type="spellStart"/>
            <w:r w:rsidRPr="00CC7F11">
              <w:rPr>
                <w:bCs/>
                <w:szCs w:val="18"/>
                <w:lang w:val="es-MX"/>
              </w:rPr>
              <w:t>MECs</w:t>
            </w:r>
            <w:proofErr w:type="spellEnd"/>
            <w:r w:rsidRPr="00CC7F11">
              <w:rPr>
                <w:bCs/>
                <w:szCs w:val="18"/>
                <w:lang w:val="es-MX"/>
              </w:rPr>
              <w:t>)</w:t>
            </w:r>
          </w:p>
        </w:tc>
      </w:tr>
      <w:tr w:rsidR="00652CF2" w:rsidRPr="00187A8D" w:rsidTr="00C56A1A">
        <w:trPr>
          <w:trHeight w:val="20"/>
        </w:trPr>
        <w:tc>
          <w:tcPr>
            <w:tcW w:w="9759" w:type="dxa"/>
            <w:gridSpan w:val="2"/>
            <w:vAlign w:val="center"/>
          </w:tcPr>
          <w:p w:rsidR="00652CF2" w:rsidRPr="00187A8D" w:rsidRDefault="00652CF2" w:rsidP="00C56A1A">
            <w:pPr>
              <w:pStyle w:val="Texto"/>
              <w:spacing w:before="20" w:after="20" w:line="202" w:lineRule="exact"/>
              <w:ind w:firstLine="0"/>
              <w:jc w:val="center"/>
              <w:rPr>
                <w:b/>
                <w:szCs w:val="18"/>
              </w:rPr>
            </w:pPr>
            <w:r w:rsidRPr="00187A8D">
              <w:rPr>
                <w:b/>
                <w:szCs w:val="18"/>
              </w:rPr>
              <w:t>Objetivo y campo de aplicación</w:t>
            </w:r>
          </w:p>
          <w:p w:rsidR="00652CF2" w:rsidRPr="00187A8D" w:rsidRDefault="00652CF2" w:rsidP="00C56A1A">
            <w:pPr>
              <w:pStyle w:val="Texto"/>
              <w:spacing w:before="20" w:after="20" w:line="202" w:lineRule="exact"/>
              <w:ind w:firstLine="0"/>
              <w:rPr>
                <w:szCs w:val="18"/>
              </w:rPr>
            </w:pPr>
            <w:r w:rsidRPr="00187A8D">
              <w:rPr>
                <w:szCs w:val="18"/>
              </w:rPr>
              <w:t xml:space="preserve">Esta Norma Mexicana establece metodologías uniformes para el diseño y comprobación de los sistemas de amarre para los </w:t>
            </w:r>
            <w:proofErr w:type="spellStart"/>
            <w:r w:rsidRPr="00187A8D">
              <w:rPr>
                <w:szCs w:val="18"/>
              </w:rPr>
              <w:t>MECs</w:t>
            </w:r>
            <w:proofErr w:type="spellEnd"/>
            <w:r w:rsidRPr="00187A8D">
              <w:rPr>
                <w:szCs w:val="18"/>
              </w:rPr>
              <w:t xml:space="preserve"> flotantes. La presente norma se destina para aplicarse en diversas etapas, desde la etapa de comprobación del sistema de amarre hasta las etapas de diseño, de instalación y de mantenimiento de las plantas de </w:t>
            </w:r>
            <w:proofErr w:type="spellStart"/>
            <w:r w:rsidRPr="00187A8D">
              <w:rPr>
                <w:szCs w:val="18"/>
              </w:rPr>
              <w:t>MECs</w:t>
            </w:r>
            <w:proofErr w:type="spellEnd"/>
            <w:r w:rsidRPr="00187A8D">
              <w:rPr>
                <w:szCs w:val="18"/>
              </w:rPr>
              <w:t xml:space="preserve"> flotantes.</w:t>
            </w:r>
          </w:p>
          <w:p w:rsidR="00652CF2" w:rsidRPr="00187A8D" w:rsidRDefault="00652CF2" w:rsidP="00C56A1A">
            <w:pPr>
              <w:pStyle w:val="Texto"/>
              <w:spacing w:before="20" w:after="20" w:line="202" w:lineRule="exact"/>
              <w:ind w:firstLine="0"/>
              <w:rPr>
                <w:szCs w:val="18"/>
              </w:rPr>
            </w:pPr>
            <w:r w:rsidRPr="00187A8D">
              <w:rPr>
                <w:szCs w:val="18"/>
              </w:rPr>
              <w:t xml:space="preserve">La presente norma es aplicable a los sistemas de amarre de unidades </w:t>
            </w:r>
            <w:proofErr w:type="spellStart"/>
            <w:r w:rsidRPr="00187A8D">
              <w:rPr>
                <w:szCs w:val="18"/>
              </w:rPr>
              <w:t>MECs</w:t>
            </w:r>
            <w:proofErr w:type="spellEnd"/>
            <w:r w:rsidRPr="00187A8D">
              <w:rPr>
                <w:szCs w:val="18"/>
              </w:rPr>
              <w:t xml:space="preserve"> flotantes, de cualquier tamaño o de cualquier tipo, en condiciones de aguas abiertas. Algunos aspectos del proceso de diseño del sistema de </w:t>
            </w:r>
            <w:proofErr w:type="gramStart"/>
            <w:r w:rsidRPr="00187A8D">
              <w:rPr>
                <w:szCs w:val="18"/>
              </w:rPr>
              <w:t>amarre,</w:t>
            </w:r>
            <w:proofErr w:type="gramEnd"/>
            <w:r w:rsidRPr="00187A8D">
              <w:rPr>
                <w:szCs w:val="18"/>
              </w:rPr>
              <w:t xml:space="preserve"> se detallan en las normas de amarre existentes. La intención de la presente norma es destacar los diversos requisitos de los </w:t>
            </w:r>
            <w:proofErr w:type="spellStart"/>
            <w:r w:rsidRPr="00187A8D">
              <w:rPr>
                <w:szCs w:val="18"/>
              </w:rPr>
              <w:t>MECs</w:t>
            </w:r>
            <w:proofErr w:type="spellEnd"/>
            <w:r w:rsidRPr="00187A8D">
              <w:rPr>
                <w:szCs w:val="18"/>
              </w:rPr>
              <w:t xml:space="preserve"> y no duplicarlos con los de las normas o procesos existentes.</w:t>
            </w:r>
          </w:p>
          <w:p w:rsidR="00652CF2" w:rsidRPr="00187A8D" w:rsidRDefault="00652CF2" w:rsidP="00C56A1A">
            <w:pPr>
              <w:pStyle w:val="Texto"/>
              <w:spacing w:before="20" w:after="20" w:line="202" w:lineRule="exact"/>
              <w:ind w:firstLine="0"/>
              <w:rPr>
                <w:szCs w:val="18"/>
              </w:rPr>
            </w:pPr>
            <w:r w:rsidRPr="00187A8D">
              <w:rPr>
                <w:szCs w:val="18"/>
              </w:rPr>
              <w:t>Mientras que se indican los requisitos de capacidad de retención del anclaje, el análisis geotécnico detallado y el diseño de los anclajes están fuera del objetivo de esta norma.</w:t>
            </w:r>
          </w:p>
        </w:tc>
      </w:tr>
      <w:tr w:rsidR="00652CF2" w:rsidRPr="00187A8D" w:rsidTr="00C56A1A">
        <w:trPr>
          <w:trHeight w:val="20"/>
        </w:trPr>
        <w:tc>
          <w:tcPr>
            <w:tcW w:w="9759" w:type="dxa"/>
            <w:gridSpan w:val="2"/>
            <w:vAlign w:val="center"/>
          </w:tcPr>
          <w:p w:rsidR="00652CF2" w:rsidRPr="00187A8D" w:rsidRDefault="00652CF2" w:rsidP="00C56A1A">
            <w:pPr>
              <w:pStyle w:val="Texto"/>
              <w:spacing w:before="20" w:after="20" w:line="202" w:lineRule="exact"/>
              <w:ind w:firstLine="0"/>
              <w:jc w:val="center"/>
              <w:rPr>
                <w:b/>
                <w:szCs w:val="18"/>
                <w:lang w:val="es-MX"/>
              </w:rPr>
            </w:pPr>
            <w:r w:rsidRPr="00187A8D">
              <w:rPr>
                <w:b/>
                <w:szCs w:val="18"/>
                <w:lang w:val="es-MX"/>
              </w:rPr>
              <w:t>Concordancia con Normas Internacionales</w:t>
            </w:r>
          </w:p>
          <w:p w:rsidR="00652CF2" w:rsidRPr="00187A8D" w:rsidRDefault="00652CF2" w:rsidP="00C56A1A">
            <w:pPr>
              <w:pStyle w:val="Texto"/>
              <w:spacing w:before="20" w:after="20" w:line="202" w:lineRule="exact"/>
              <w:ind w:firstLine="0"/>
              <w:rPr>
                <w:szCs w:val="18"/>
              </w:rPr>
            </w:pPr>
            <w:r w:rsidRPr="00187A8D">
              <w:rPr>
                <w:szCs w:val="18"/>
              </w:rPr>
              <w:t xml:space="preserve">Esta Norma Mexicana establece metodologías uniformes para el diseño y comprobación de los sistemas de amarre para los </w:t>
            </w:r>
            <w:proofErr w:type="spellStart"/>
            <w:r w:rsidRPr="00187A8D">
              <w:rPr>
                <w:szCs w:val="18"/>
              </w:rPr>
              <w:t>MECs</w:t>
            </w:r>
            <w:proofErr w:type="spellEnd"/>
            <w:r w:rsidRPr="00187A8D">
              <w:rPr>
                <w:szCs w:val="18"/>
              </w:rPr>
              <w:t xml:space="preserve"> flotantes. La presente norma se destina para aplicarse en diversas etapas, desde la etapa de comprobación del sistema de amarre hasta las etapas de diseño, de instalación y de mantenimiento de las plantas de </w:t>
            </w:r>
            <w:proofErr w:type="spellStart"/>
            <w:r w:rsidRPr="00187A8D">
              <w:rPr>
                <w:szCs w:val="18"/>
              </w:rPr>
              <w:t>MECs</w:t>
            </w:r>
            <w:proofErr w:type="spellEnd"/>
            <w:r w:rsidRPr="00187A8D">
              <w:rPr>
                <w:szCs w:val="18"/>
              </w:rPr>
              <w:t xml:space="preserve"> flotantes.</w:t>
            </w:r>
          </w:p>
          <w:p w:rsidR="00652CF2" w:rsidRPr="00187A8D" w:rsidRDefault="00652CF2" w:rsidP="00C56A1A">
            <w:pPr>
              <w:pStyle w:val="Texto"/>
              <w:spacing w:before="20" w:after="20" w:line="202" w:lineRule="exact"/>
              <w:ind w:firstLine="0"/>
              <w:rPr>
                <w:szCs w:val="18"/>
              </w:rPr>
            </w:pPr>
            <w:r w:rsidRPr="00187A8D">
              <w:rPr>
                <w:szCs w:val="18"/>
              </w:rPr>
              <w:t xml:space="preserve">La presente norma es aplicable a los sistemas de amarre de unidades </w:t>
            </w:r>
            <w:proofErr w:type="spellStart"/>
            <w:r w:rsidRPr="00187A8D">
              <w:rPr>
                <w:szCs w:val="18"/>
              </w:rPr>
              <w:t>MECs</w:t>
            </w:r>
            <w:proofErr w:type="spellEnd"/>
            <w:r w:rsidRPr="00187A8D">
              <w:rPr>
                <w:szCs w:val="18"/>
              </w:rPr>
              <w:t xml:space="preserve"> flotantes, de cualquier tamaño o de cualquier tipo, en condiciones de aguas abiertas. Algunos aspectos del proceso de diseño del sistema de </w:t>
            </w:r>
            <w:proofErr w:type="gramStart"/>
            <w:r w:rsidRPr="00187A8D">
              <w:rPr>
                <w:szCs w:val="18"/>
              </w:rPr>
              <w:t>amarre,</w:t>
            </w:r>
            <w:proofErr w:type="gramEnd"/>
            <w:r w:rsidRPr="00187A8D">
              <w:rPr>
                <w:szCs w:val="18"/>
              </w:rPr>
              <w:t xml:space="preserve"> se detallan en las normas de amarre existentes. La intención de la presente norma es destacar los diversos requisitos de los </w:t>
            </w:r>
            <w:proofErr w:type="spellStart"/>
            <w:r w:rsidRPr="00187A8D">
              <w:rPr>
                <w:szCs w:val="18"/>
              </w:rPr>
              <w:t>MECs</w:t>
            </w:r>
            <w:proofErr w:type="spellEnd"/>
            <w:r w:rsidRPr="00187A8D">
              <w:rPr>
                <w:szCs w:val="18"/>
              </w:rPr>
              <w:t xml:space="preserve"> y no duplicarlos con los de las normas o procesos existentes.</w:t>
            </w:r>
          </w:p>
          <w:p w:rsidR="00652CF2" w:rsidRPr="00187A8D" w:rsidRDefault="00652CF2" w:rsidP="00C56A1A">
            <w:pPr>
              <w:pStyle w:val="Texto"/>
              <w:spacing w:before="20" w:after="20" w:line="202" w:lineRule="exact"/>
              <w:ind w:firstLine="0"/>
              <w:rPr>
                <w:b/>
                <w:szCs w:val="18"/>
                <w:lang w:val="es-MX"/>
              </w:rPr>
            </w:pPr>
            <w:r w:rsidRPr="00187A8D">
              <w:rPr>
                <w:szCs w:val="18"/>
              </w:rPr>
              <w:t>Mientras que se indican los requisitos de capacidad de retención del anclaje, el análisis geotécnico detallado y el diseño de los anclajes están fuera del objetivo de esta norma.</w:t>
            </w:r>
          </w:p>
        </w:tc>
      </w:tr>
      <w:tr w:rsidR="00652CF2" w:rsidRPr="00187A8D" w:rsidTr="00C56A1A">
        <w:trPr>
          <w:trHeight w:val="20"/>
        </w:trPr>
        <w:tc>
          <w:tcPr>
            <w:tcW w:w="9759" w:type="dxa"/>
            <w:gridSpan w:val="2"/>
            <w:vAlign w:val="center"/>
          </w:tcPr>
          <w:p w:rsidR="00652CF2" w:rsidRPr="004D0FAD" w:rsidRDefault="00652CF2" w:rsidP="00C56A1A">
            <w:pPr>
              <w:pStyle w:val="Texto"/>
              <w:spacing w:before="20" w:after="20" w:line="202" w:lineRule="exact"/>
              <w:ind w:firstLine="0"/>
              <w:jc w:val="center"/>
              <w:rPr>
                <w:b/>
                <w:szCs w:val="18"/>
                <w:lang w:val="es-MX"/>
              </w:rPr>
            </w:pPr>
            <w:r w:rsidRPr="004D0FAD">
              <w:rPr>
                <w:b/>
                <w:szCs w:val="18"/>
                <w:lang w:val="es-MX"/>
              </w:rPr>
              <w:t>Bibliografía</w:t>
            </w:r>
          </w:p>
          <w:p w:rsidR="00652CF2" w:rsidRPr="00187A8D" w:rsidRDefault="00652CF2" w:rsidP="00C56A1A">
            <w:pPr>
              <w:pStyle w:val="Texto"/>
              <w:spacing w:before="20" w:after="20" w:line="202" w:lineRule="exact"/>
              <w:ind w:firstLine="0"/>
              <w:rPr>
                <w:szCs w:val="18"/>
                <w:lang w:val="es-MX"/>
              </w:rPr>
            </w:pPr>
            <w:r w:rsidRPr="00187A8D">
              <w:rPr>
                <w:szCs w:val="18"/>
                <w:lang w:val="es-MX"/>
              </w:rPr>
              <w:t>Esta NMX-J-739-10-ANCE-2018, Energía marina</w:t>
            </w:r>
            <w:r>
              <w:rPr>
                <w:szCs w:val="18"/>
                <w:lang w:val="es-MX"/>
              </w:rPr>
              <w:t>-</w:t>
            </w:r>
            <w:r w:rsidRPr="00187A8D">
              <w:rPr>
                <w:szCs w:val="18"/>
                <w:lang w:val="es-MX"/>
              </w:rPr>
              <w:t>Convertidores de olas, de mareas y otras corrientes de agua</w:t>
            </w:r>
            <w:r>
              <w:rPr>
                <w:szCs w:val="18"/>
                <w:lang w:val="es-MX"/>
              </w:rPr>
              <w:t>-</w:t>
            </w:r>
            <w:r w:rsidRPr="00187A8D">
              <w:rPr>
                <w:szCs w:val="18"/>
                <w:lang w:val="es-MX"/>
              </w:rPr>
              <w:t>Parte 10: Comprobación del sistema de amarre para convertidores de energía marina (</w:t>
            </w:r>
            <w:proofErr w:type="spellStart"/>
            <w:r w:rsidRPr="00187A8D">
              <w:rPr>
                <w:szCs w:val="18"/>
                <w:lang w:val="es-MX"/>
              </w:rPr>
              <w:t>MECs</w:t>
            </w:r>
            <w:proofErr w:type="spellEnd"/>
            <w:r w:rsidRPr="00187A8D">
              <w:rPr>
                <w:szCs w:val="18"/>
                <w:lang w:val="es-MX"/>
              </w:rPr>
              <w:t>), NO ES EQUIVALENTE con alguna Norma Internacional, por no existir esta última al momento de elaborar la Norma Mexicana.</w:t>
            </w:r>
          </w:p>
        </w:tc>
      </w:tr>
    </w:tbl>
    <w:p w:rsidR="00652CF2" w:rsidRPr="00187A8D" w:rsidRDefault="00652CF2" w:rsidP="00652CF2">
      <w:pPr>
        <w:pStyle w:val="Texto"/>
        <w:spacing w:after="60" w:line="200" w:lineRule="exact"/>
        <w:rPr>
          <w:bCs/>
          <w:szCs w:val="18"/>
          <w:lang w:val="es-MX"/>
        </w:rPr>
      </w:pPr>
    </w:p>
    <w:p w:rsidR="00652CF2" w:rsidRPr="00CC7F11" w:rsidRDefault="00652CF2" w:rsidP="00652CF2">
      <w:pPr>
        <w:pStyle w:val="Texto"/>
        <w:spacing w:after="60" w:line="200" w:lineRule="exact"/>
        <w:rPr>
          <w:bCs/>
          <w:szCs w:val="18"/>
          <w:lang w:val="es-MX"/>
        </w:rPr>
      </w:pPr>
      <w:r>
        <w:rPr>
          <w:bCs/>
          <w:szCs w:val="18"/>
          <w:lang w:val="es-MX"/>
        </w:rPr>
        <w:t>Atentamente</w:t>
      </w:r>
    </w:p>
    <w:p w:rsidR="00652CF2" w:rsidRDefault="00652CF2" w:rsidP="00652CF2">
      <w:pPr>
        <w:pStyle w:val="Texto"/>
        <w:spacing w:after="60" w:line="200" w:lineRule="exact"/>
        <w:rPr>
          <w:bCs/>
          <w:szCs w:val="18"/>
          <w:lang w:val="es-MX"/>
        </w:rPr>
      </w:pPr>
      <w:r w:rsidRPr="00187A8D">
        <w:rPr>
          <w:bCs/>
          <w:szCs w:val="18"/>
          <w:lang w:val="es-MX"/>
        </w:rPr>
        <w:t>Ciudad de México, a 6 de septiembre de 2018</w:t>
      </w:r>
      <w:r>
        <w:rPr>
          <w:bCs/>
          <w:szCs w:val="18"/>
          <w:lang w:val="es-MX"/>
        </w:rPr>
        <w:t xml:space="preserve">.- El </w:t>
      </w:r>
      <w:r w:rsidRPr="00CC7F11">
        <w:rPr>
          <w:bCs/>
          <w:szCs w:val="18"/>
          <w:lang w:val="es-MX"/>
        </w:rPr>
        <w:t>Director General de Normas y Secretariado Técnico de la Comisión Nacional</w:t>
      </w:r>
      <w:r>
        <w:rPr>
          <w:bCs/>
          <w:szCs w:val="18"/>
          <w:lang w:val="es-MX"/>
        </w:rPr>
        <w:t xml:space="preserve"> </w:t>
      </w:r>
      <w:r w:rsidRPr="00CC7F11">
        <w:rPr>
          <w:bCs/>
          <w:szCs w:val="18"/>
          <w:lang w:val="es-MX"/>
        </w:rPr>
        <w:t>de Normalización</w:t>
      </w:r>
      <w:r>
        <w:rPr>
          <w:bCs/>
          <w:szCs w:val="18"/>
          <w:lang w:val="es-MX"/>
        </w:rPr>
        <w:t xml:space="preserve">, </w:t>
      </w:r>
      <w:r w:rsidRPr="00187A8D">
        <w:rPr>
          <w:b/>
          <w:bCs/>
          <w:szCs w:val="18"/>
          <w:lang w:val="es-MX"/>
        </w:rPr>
        <w:t xml:space="preserve">Alberto Ulises Esteban </w:t>
      </w:r>
      <w:proofErr w:type="gramStart"/>
      <w:r w:rsidRPr="00187A8D">
        <w:rPr>
          <w:b/>
          <w:bCs/>
          <w:szCs w:val="18"/>
          <w:lang w:val="es-MX"/>
        </w:rPr>
        <w:t>Marina</w:t>
      </w:r>
      <w:r>
        <w:rPr>
          <w:bCs/>
          <w:szCs w:val="18"/>
          <w:lang w:val="es-MX"/>
        </w:rPr>
        <w:t>.-</w:t>
      </w:r>
      <w:proofErr w:type="gramEnd"/>
      <w:r>
        <w:rPr>
          <w:bCs/>
          <w:szCs w:val="18"/>
          <w:lang w:val="es-MX"/>
        </w:rPr>
        <w:t xml:space="preserve"> Rúbrica.</w:t>
      </w:r>
    </w:p>
    <w:p w:rsidR="00652CF2" w:rsidRDefault="00652CF2"/>
    <w:sectPr w:rsidR="00652CF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3A3" w:rsidRDefault="00CA23A3" w:rsidP="00652CF2">
      <w:r>
        <w:separator/>
      </w:r>
    </w:p>
  </w:endnote>
  <w:endnote w:type="continuationSeparator" w:id="0">
    <w:p w:rsidR="00CA23A3" w:rsidRDefault="00CA23A3" w:rsidP="0065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3A3" w:rsidRDefault="00CA23A3" w:rsidP="00652CF2">
      <w:r>
        <w:separator/>
      </w:r>
    </w:p>
  </w:footnote>
  <w:footnote w:type="continuationSeparator" w:id="0">
    <w:p w:rsidR="00CA23A3" w:rsidRDefault="00CA23A3" w:rsidP="0065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CF2" w:rsidRPr="00F63670" w:rsidRDefault="00652CF2" w:rsidP="00652CF2">
    <w:pPr>
      <w:pStyle w:val="Fechas"/>
      <w:rPr>
        <w:rFonts w:cs="Times New Roman"/>
      </w:rPr>
    </w:pPr>
    <w:r w:rsidRPr="00F63670">
      <w:rPr>
        <w:rFonts w:cs="Times New Roman"/>
      </w:rPr>
      <w:t>Miércoles 30 de enero de 2019</w:t>
    </w:r>
    <w:r w:rsidRPr="00F63670">
      <w:rPr>
        <w:rFonts w:cs="Times New Roman"/>
      </w:rPr>
      <w:tab/>
      <w:t>DIARIO OFICIAL</w:t>
    </w:r>
    <w:r w:rsidRPr="00F63670">
      <w:rPr>
        <w:rFonts w:cs="Times New Roman"/>
      </w:rPr>
      <w:tab/>
      <w:t xml:space="preserve">(Segunda Sección)     </w:t>
    </w:r>
  </w:p>
  <w:p w:rsidR="00652CF2" w:rsidRDefault="00652CF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F2"/>
    <w:rsid w:val="00652CF2"/>
    <w:rsid w:val="00CA23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6318"/>
  <w15:chartTrackingRefBased/>
  <w15:docId w15:val="{0ADE07B7-81C8-4A04-BBB0-68634AA5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C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52CF2"/>
    <w:pPr>
      <w:spacing w:after="101" w:line="216" w:lineRule="exact"/>
      <w:ind w:firstLine="288"/>
      <w:jc w:val="both"/>
    </w:pPr>
    <w:rPr>
      <w:rFonts w:ascii="Arial" w:hAnsi="Arial" w:cs="Arial"/>
      <w:sz w:val="18"/>
      <w:szCs w:val="20"/>
    </w:rPr>
  </w:style>
  <w:style w:type="paragraph" w:customStyle="1" w:styleId="Titulo1">
    <w:name w:val="Titulo 1"/>
    <w:basedOn w:val="Texto"/>
    <w:rsid w:val="00652CF2"/>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52CF2"/>
    <w:pPr>
      <w:pBdr>
        <w:top w:val="double" w:sz="6" w:space="1" w:color="auto"/>
      </w:pBdr>
      <w:spacing w:line="240" w:lineRule="auto"/>
      <w:ind w:firstLine="0"/>
      <w:outlineLvl w:val="1"/>
    </w:pPr>
    <w:rPr>
      <w:lang w:val="es-MX"/>
    </w:rPr>
  </w:style>
  <w:style w:type="character" w:customStyle="1" w:styleId="TextoCar">
    <w:name w:val="Texto Car"/>
    <w:link w:val="Texto"/>
    <w:locked/>
    <w:rsid w:val="00652CF2"/>
    <w:rPr>
      <w:rFonts w:ascii="Arial" w:eastAsia="Times New Roman" w:hAnsi="Arial" w:cs="Arial"/>
      <w:sz w:val="18"/>
      <w:szCs w:val="20"/>
      <w:lang w:val="es-ES" w:eastAsia="es-ES"/>
    </w:rPr>
  </w:style>
  <w:style w:type="paragraph" w:customStyle="1" w:styleId="CABEZA">
    <w:name w:val="CABEZA"/>
    <w:basedOn w:val="Normal"/>
    <w:rsid w:val="00652CF2"/>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652CF2"/>
    <w:pPr>
      <w:tabs>
        <w:tab w:val="center" w:pos="4419"/>
        <w:tab w:val="right" w:pos="8838"/>
      </w:tabs>
    </w:pPr>
  </w:style>
  <w:style w:type="character" w:customStyle="1" w:styleId="EncabezadoCar">
    <w:name w:val="Encabezado Car"/>
    <w:basedOn w:val="Fuentedeprrafopredeter"/>
    <w:link w:val="Encabezado"/>
    <w:uiPriority w:val="99"/>
    <w:rsid w:val="00652CF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52CF2"/>
    <w:pPr>
      <w:tabs>
        <w:tab w:val="center" w:pos="4419"/>
        <w:tab w:val="right" w:pos="8838"/>
      </w:tabs>
    </w:pPr>
  </w:style>
  <w:style w:type="character" w:customStyle="1" w:styleId="PiedepginaCar">
    <w:name w:val="Pie de página Car"/>
    <w:basedOn w:val="Fuentedeprrafopredeter"/>
    <w:link w:val="Piedepgina"/>
    <w:uiPriority w:val="99"/>
    <w:rsid w:val="00652CF2"/>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652CF2"/>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4244</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2019-01-30T12:41:00Z</dcterms:created>
  <dcterms:modified xsi:type="dcterms:W3CDTF">2019-01-30T12:49:00Z</dcterms:modified>
</cp:coreProperties>
</file>